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D849F" w14:textId="5D5CBE2B" w:rsidR="00EF4E06" w:rsidRPr="00CE248E" w:rsidRDefault="00EF4E06" w:rsidP="00A33913">
      <w:pPr>
        <w:pStyle w:val="3GPPHeader"/>
        <w:spacing w:after="60"/>
        <w:jc w:val="both"/>
        <w:rPr>
          <w:sz w:val="36"/>
          <w:szCs w:val="32"/>
        </w:rPr>
      </w:pPr>
      <w:r w:rsidRPr="007C6CC7">
        <w:t>3GPP TSG-RAN WG2 #10</w:t>
      </w:r>
      <w:r w:rsidR="00F8261D">
        <w:t>2</w:t>
      </w:r>
      <w:r w:rsidRPr="007C6CC7">
        <w:rPr>
          <w:sz w:val="28"/>
        </w:rPr>
        <w:tab/>
      </w:r>
      <w:r w:rsidRPr="00EF4E06">
        <w:rPr>
          <w:sz w:val="28"/>
        </w:rPr>
        <w:t>R2-</w:t>
      </w:r>
      <w:r w:rsidR="001A2D01" w:rsidRPr="00EF4E06">
        <w:rPr>
          <w:sz w:val="28"/>
        </w:rPr>
        <w:t>180</w:t>
      </w:r>
      <w:r w:rsidR="00D24C5A">
        <w:rPr>
          <w:sz w:val="28"/>
        </w:rPr>
        <w:t>7137</w:t>
      </w:r>
    </w:p>
    <w:p w14:paraId="0807292A" w14:textId="49AF2745" w:rsidR="00433D0D" w:rsidRDefault="00F8261D" w:rsidP="00A33913">
      <w:pPr>
        <w:pStyle w:val="3GPPHeader"/>
        <w:jc w:val="both"/>
        <w:rPr>
          <w:sz w:val="22"/>
        </w:rPr>
      </w:pPr>
      <w:r>
        <w:t>Busan, S.</w:t>
      </w:r>
      <w:r w:rsidR="00793567">
        <w:t xml:space="preserve"> </w:t>
      </w:r>
      <w:r>
        <w:t>Korea, 21</w:t>
      </w:r>
      <w:r w:rsidRPr="00793567">
        <w:rPr>
          <w:vertAlign w:val="superscript"/>
        </w:rPr>
        <w:t>st</w:t>
      </w:r>
      <w:r>
        <w:t xml:space="preserve"> – 25</w:t>
      </w:r>
      <w:r w:rsidRPr="00793567">
        <w:rPr>
          <w:vertAlign w:val="superscript"/>
        </w:rPr>
        <w:t>th</w:t>
      </w:r>
      <w:r>
        <w:t xml:space="preserve"> May</w:t>
      </w:r>
      <w:r w:rsidR="00793567">
        <w:t>, 2018</w:t>
      </w:r>
      <w:r w:rsidR="00AB1C5A" w:rsidRPr="007D251A">
        <w:t xml:space="preserve">                 </w:t>
      </w:r>
      <w:r w:rsidR="00AB1C5A">
        <w:t xml:space="preserve">     </w:t>
      </w:r>
      <w:r w:rsidR="00B61557">
        <w:t xml:space="preserve">                        </w:t>
      </w:r>
      <w:r w:rsidR="00793567">
        <w:t xml:space="preserve">                  </w:t>
      </w:r>
      <w:r w:rsidR="001A2D01">
        <w:t xml:space="preserve">Revision </w:t>
      </w:r>
      <w:proofErr w:type="gramStart"/>
      <w:r w:rsidR="001A2D01">
        <w:t>of  R</w:t>
      </w:r>
      <w:proofErr w:type="gramEnd"/>
      <w:r w:rsidR="001A2D01">
        <w:t>2-</w:t>
      </w:r>
      <w:r w:rsidR="001A0223" w:rsidRPr="00B840C4">
        <w:rPr>
          <w:szCs w:val="24"/>
        </w:rPr>
        <w:t>1805391</w:t>
      </w:r>
    </w:p>
    <w:p w14:paraId="3B2ADF0A" w14:textId="1B0CDF11" w:rsidR="00E90E49" w:rsidRPr="00C25A74" w:rsidRDefault="00E90E49" w:rsidP="00A33913">
      <w:pPr>
        <w:pStyle w:val="3GPPHeader"/>
        <w:jc w:val="both"/>
        <w:rPr>
          <w:sz w:val="22"/>
        </w:rPr>
      </w:pPr>
      <w:r w:rsidRPr="00C25A74">
        <w:rPr>
          <w:sz w:val="22"/>
        </w:rPr>
        <w:t>Agenda Item:</w:t>
      </w:r>
      <w:r w:rsidRPr="00C25A74">
        <w:rPr>
          <w:sz w:val="22"/>
        </w:rPr>
        <w:tab/>
      </w:r>
    </w:p>
    <w:p w14:paraId="76BB52E1" w14:textId="77777777" w:rsidR="00E90E49" w:rsidRPr="00C25A74" w:rsidRDefault="003D3C45" w:rsidP="00A33913">
      <w:pPr>
        <w:pStyle w:val="3GPPHeader"/>
        <w:jc w:val="both"/>
        <w:rPr>
          <w:sz w:val="22"/>
        </w:rPr>
      </w:pPr>
      <w:r w:rsidRPr="00C25A74">
        <w:rPr>
          <w:sz w:val="22"/>
        </w:rPr>
        <w:t>Source:</w:t>
      </w:r>
      <w:r w:rsidR="00E90E49" w:rsidRPr="00C25A74">
        <w:rPr>
          <w:sz w:val="22"/>
        </w:rPr>
        <w:tab/>
      </w:r>
      <w:r w:rsidR="00F64C2B" w:rsidRPr="00C25A74">
        <w:rPr>
          <w:sz w:val="22"/>
        </w:rPr>
        <w:t>Ericsson</w:t>
      </w:r>
      <w:bookmarkStart w:id="0" w:name="_GoBack"/>
      <w:bookmarkEnd w:id="0"/>
    </w:p>
    <w:p w14:paraId="0B677030" w14:textId="0DE622B6" w:rsidR="00E90E49" w:rsidRPr="00C25A74" w:rsidRDefault="003D3C45" w:rsidP="00A33913">
      <w:pPr>
        <w:pStyle w:val="3GPPHeader"/>
        <w:jc w:val="both"/>
        <w:rPr>
          <w:sz w:val="22"/>
        </w:rPr>
      </w:pPr>
      <w:r w:rsidRPr="00C25A74">
        <w:rPr>
          <w:sz w:val="22"/>
        </w:rPr>
        <w:t>Title:</w:t>
      </w:r>
      <w:r w:rsidR="00E90E49" w:rsidRPr="00C25A74">
        <w:rPr>
          <w:sz w:val="22"/>
        </w:rPr>
        <w:tab/>
      </w:r>
      <w:r w:rsidR="00B35AB1">
        <w:rPr>
          <w:sz w:val="22"/>
        </w:rPr>
        <w:t xml:space="preserve"> Clarification of neighbor cells </w:t>
      </w:r>
      <w:r w:rsidR="00BA5387">
        <w:rPr>
          <w:sz w:val="22"/>
        </w:rPr>
        <w:t>on A4/A5</w:t>
      </w:r>
    </w:p>
    <w:p w14:paraId="1A478B06" w14:textId="77777777" w:rsidR="00E90E49" w:rsidRDefault="00E90E49" w:rsidP="00A33913">
      <w:pPr>
        <w:pStyle w:val="3GPPHeader"/>
        <w:jc w:val="both"/>
        <w:rPr>
          <w:sz w:val="22"/>
        </w:rPr>
      </w:pPr>
      <w:r w:rsidRPr="00C25A74">
        <w:rPr>
          <w:sz w:val="22"/>
        </w:rPr>
        <w:t>Document for:</w:t>
      </w:r>
      <w:r w:rsidRPr="00C25A74">
        <w:rPr>
          <w:sz w:val="22"/>
        </w:rPr>
        <w:tab/>
        <w:t>Discussion, Decision</w:t>
      </w:r>
    </w:p>
    <w:p w14:paraId="45AD37C0" w14:textId="77777777" w:rsidR="00C24345" w:rsidRDefault="00E90E49" w:rsidP="00A33913">
      <w:pPr>
        <w:pStyle w:val="Heading1"/>
        <w:jc w:val="both"/>
      </w:pPr>
      <w:r w:rsidRPr="00CE0424">
        <w:t>Introduction</w:t>
      </w:r>
    </w:p>
    <w:p w14:paraId="2140A109" w14:textId="10F90577" w:rsidR="00A2052C" w:rsidRPr="00A2052C" w:rsidRDefault="00E66917" w:rsidP="00A33913">
      <w:pPr>
        <w:jc w:val="both"/>
      </w:pPr>
      <w:r>
        <w:t>In TS 3</w:t>
      </w:r>
      <w:r w:rsidR="00D82EDB">
        <w:t>8</w:t>
      </w:r>
      <w:r>
        <w:t xml:space="preserve">.331, the current procedural text related to </w:t>
      </w:r>
      <w:r w:rsidR="0031530B">
        <w:t>measurement e</w:t>
      </w:r>
      <w:r>
        <w:t>vent A4 (</w:t>
      </w:r>
      <w:proofErr w:type="spellStart"/>
      <w:r>
        <w:t>Neighbour</w:t>
      </w:r>
      <w:proofErr w:type="spellEnd"/>
      <w:r>
        <w:t xml:space="preserve"> becomes better than threshold) leaves room for interpretation concerning the exact definition of “</w:t>
      </w:r>
      <w:proofErr w:type="spellStart"/>
      <w:r>
        <w:t>neighbour</w:t>
      </w:r>
      <w:proofErr w:type="spellEnd"/>
      <w:r>
        <w:t>”. In this contribution, we highlight the issue</w:t>
      </w:r>
      <w:r w:rsidR="00FF1426">
        <w:t>.</w:t>
      </w:r>
    </w:p>
    <w:p w14:paraId="476E9968" w14:textId="77777777" w:rsidR="004000E8" w:rsidRDefault="004000E8" w:rsidP="00A33913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4406DD31" w14:textId="212867FE" w:rsidR="009D6BE7" w:rsidRDefault="009D6BE7" w:rsidP="00A33913">
      <w:pPr>
        <w:jc w:val="both"/>
      </w:pPr>
      <w:r>
        <w:t xml:space="preserve">In 36.331, measurement event A4 has </w:t>
      </w:r>
      <w:r w:rsidR="00B0058A">
        <w:t xml:space="preserve">been </w:t>
      </w:r>
      <w:r>
        <w:t>introduced since Release 8. One of the purposes was to detect cells on other carriers for load balancing. In that context, the term “</w:t>
      </w:r>
      <w:proofErr w:type="spellStart"/>
      <w:r>
        <w:t>neighbour</w:t>
      </w:r>
      <w:proofErr w:type="spellEnd"/>
      <w:r>
        <w:t xml:space="preserve">” clearly </w:t>
      </w:r>
      <w:r w:rsidR="00164CB1">
        <w:t xml:space="preserve">refers to any </w:t>
      </w:r>
      <w:r>
        <w:t xml:space="preserve">cell in frequency (i.e. in the </w:t>
      </w:r>
      <w:proofErr w:type="spellStart"/>
      <w:r w:rsidRPr="00C25A74">
        <w:rPr>
          <w:i/>
        </w:rPr>
        <w:t>measObject</w:t>
      </w:r>
      <w:proofErr w:type="spellEnd"/>
      <w:r>
        <w:t xml:space="preserve">) linked to that </w:t>
      </w:r>
      <w:proofErr w:type="spellStart"/>
      <w:r w:rsidRPr="00C25A74">
        <w:rPr>
          <w:i/>
        </w:rPr>
        <w:t>reportConfig</w:t>
      </w:r>
      <w:proofErr w:type="spellEnd"/>
      <w:r>
        <w:t>. Hence, any cell in frequency 2</w:t>
      </w:r>
      <w:r w:rsidR="00B35AB1">
        <w:t>.</w:t>
      </w:r>
    </w:p>
    <w:p w14:paraId="7DE62222" w14:textId="30BA2E5C" w:rsidR="005B2443" w:rsidRDefault="009D6BE7" w:rsidP="00A33913">
      <w:pPr>
        <w:jc w:val="both"/>
      </w:pPr>
      <w:r>
        <w:t xml:space="preserve">With the introduction of carrier aggregation in Rel-10, </w:t>
      </w:r>
      <w:r w:rsidR="00164CB1">
        <w:t xml:space="preserve">the term </w:t>
      </w:r>
      <w:r w:rsidR="0031530B">
        <w:t>“</w:t>
      </w:r>
      <w:proofErr w:type="spellStart"/>
      <w:r w:rsidR="00164CB1">
        <w:t>neighbour</w:t>
      </w:r>
      <w:proofErr w:type="spellEnd"/>
      <w:r w:rsidR="00164CB1">
        <w:t xml:space="preserve"> cell</w:t>
      </w:r>
      <w:r w:rsidR="0031530B">
        <w:t>”</w:t>
      </w:r>
      <w:r w:rsidR="00164CB1">
        <w:t xml:space="preserve"> </w:t>
      </w:r>
      <w:r w:rsidR="00B35AB1">
        <w:t>became event specific.</w:t>
      </w:r>
      <w:r w:rsidR="005B2443">
        <w:t xml:space="preserve"> In RAN2_83, below decision was agreed</w:t>
      </w:r>
      <w:r w:rsidR="00A8413E">
        <w:t xml:space="preserve"> </w:t>
      </w:r>
      <w:r w:rsidR="00A8413E">
        <w:fldChar w:fldCharType="begin"/>
      </w:r>
      <w:r w:rsidR="00A8413E">
        <w:instrText xml:space="preserve"> REF _Ref513203422 \r \h </w:instrText>
      </w:r>
      <w:r w:rsidR="002B2DA8">
        <w:instrText xml:space="preserve"> \* MERGEFORMAT </w:instrText>
      </w:r>
      <w:r w:rsidR="00A8413E">
        <w:fldChar w:fldCharType="separate"/>
      </w:r>
      <w:r w:rsidR="00A8413E">
        <w:t>[1]</w:t>
      </w:r>
      <w:r w:rsidR="00A8413E">
        <w:fldChar w:fldCharType="end"/>
      </w:r>
      <w:r w:rsidR="005B2443">
        <w:t>:</w:t>
      </w:r>
    </w:p>
    <w:p w14:paraId="554E3129" w14:textId="4C4985AC" w:rsidR="005B2443" w:rsidRPr="005B2443" w:rsidRDefault="005B2443" w:rsidP="00A33913">
      <w:pPr>
        <w:pStyle w:val="Doc-text2"/>
        <w:tabs>
          <w:tab w:val="clear" w:pos="1622"/>
          <w:tab w:val="left" w:pos="567"/>
        </w:tabs>
        <w:ind w:left="709" w:hanging="425"/>
        <w:jc w:val="both"/>
      </w:pPr>
      <w:r>
        <w:t>=&gt;</w:t>
      </w:r>
      <w:r>
        <w:tab/>
        <w:t xml:space="preserve">RAN2 confirms that in the definition of A4 the </w:t>
      </w:r>
      <w:proofErr w:type="spellStart"/>
      <w:r>
        <w:t>SCell</w:t>
      </w:r>
      <w:proofErr w:type="spellEnd"/>
      <w:r>
        <w:t xml:space="preserve"> is not a </w:t>
      </w:r>
      <w:proofErr w:type="spellStart"/>
      <w:r>
        <w:t>neighbour</w:t>
      </w:r>
      <w:proofErr w:type="spellEnd"/>
      <w:r>
        <w:t xml:space="preserve">. Therefore, RAN2 confirms that the </w:t>
      </w:r>
      <w:proofErr w:type="spellStart"/>
      <w:r>
        <w:t>SCell</w:t>
      </w:r>
      <w:proofErr w:type="spellEnd"/>
      <w:r>
        <w:t xml:space="preserve"> on the Secondary Carrier does not trigger A4. </w:t>
      </w:r>
      <w:proofErr w:type="gramStart"/>
      <w:r>
        <w:t>In order to</w:t>
      </w:r>
      <w:proofErr w:type="gramEnd"/>
      <w:r>
        <w:t xml:space="preserve"> obtain a measurement report as soon as the </w:t>
      </w:r>
      <w:proofErr w:type="spellStart"/>
      <w:r>
        <w:t>SCell</w:t>
      </w:r>
      <w:proofErr w:type="spellEnd"/>
      <w:r>
        <w:t xml:space="preserve"> exceeds a threshold, the NW needs to configure an additional A1 event. Furthermore, since the </w:t>
      </w:r>
      <w:proofErr w:type="spellStart"/>
      <w:r>
        <w:t>SCell</w:t>
      </w:r>
      <w:proofErr w:type="spellEnd"/>
      <w:r>
        <w:t xml:space="preserve"> is not considered as a </w:t>
      </w:r>
      <w:proofErr w:type="spellStart"/>
      <w:r>
        <w:t>neighbour</w:t>
      </w:r>
      <w:proofErr w:type="spellEnd"/>
      <w:r>
        <w:t xml:space="preserve"> it is not included in the </w:t>
      </w:r>
      <w:proofErr w:type="spellStart"/>
      <w:r>
        <w:t>neighbour</w:t>
      </w:r>
      <w:proofErr w:type="spellEnd"/>
      <w:r>
        <w:t xml:space="preserve"> measurement list (but as </w:t>
      </w:r>
      <w:proofErr w:type="spellStart"/>
      <w:r>
        <w:t>SCell</w:t>
      </w:r>
      <w:proofErr w:type="spellEnd"/>
      <w:r>
        <w:t xml:space="preserve"> measurement if triggered by a </w:t>
      </w:r>
      <w:proofErr w:type="spellStart"/>
      <w:r>
        <w:t>neighbour</w:t>
      </w:r>
      <w:proofErr w:type="spellEnd"/>
      <w:r>
        <w:t xml:space="preserve"> cell). </w:t>
      </w:r>
    </w:p>
    <w:p w14:paraId="3162D1C1" w14:textId="77777777" w:rsidR="005B2443" w:rsidRDefault="005B2443" w:rsidP="00A33913">
      <w:pPr>
        <w:jc w:val="both"/>
      </w:pPr>
    </w:p>
    <w:p w14:paraId="26F9CA90" w14:textId="0A3195A0" w:rsidR="00164CB1" w:rsidRDefault="00471CC2" w:rsidP="00A33913">
      <w:pPr>
        <w:jc w:val="both"/>
      </w:pPr>
      <w:r>
        <w:t xml:space="preserve">This </w:t>
      </w:r>
      <w:r w:rsidR="00DD1BA0">
        <w:t>restriction</w:t>
      </w:r>
      <w:r>
        <w:t xml:space="preserve"> severely limits the usefulness of the event A4. Basically, it cannot be configured for a certain carrier if there is an </w:t>
      </w:r>
      <w:proofErr w:type="spellStart"/>
      <w:r>
        <w:t>SCell</w:t>
      </w:r>
      <w:proofErr w:type="spellEnd"/>
      <w:r>
        <w:t xml:space="preserve"> in that carrier, since the UE </w:t>
      </w:r>
      <w:r w:rsidR="00C60224">
        <w:t>does</w:t>
      </w:r>
      <w:r>
        <w:t xml:space="preserve"> not trigger the event based on the </w:t>
      </w:r>
      <w:proofErr w:type="spellStart"/>
      <w:r>
        <w:t>SCell</w:t>
      </w:r>
      <w:proofErr w:type="spellEnd"/>
      <w:r>
        <w:t xml:space="preserve"> quality. This has implications for the networks ability to configure A4 inter-frequency measurements which could be useful for several purposes such as moving UEs to a </w:t>
      </w:r>
      <w:proofErr w:type="spellStart"/>
      <w:r>
        <w:t>neighbour</w:t>
      </w:r>
      <w:proofErr w:type="spellEnd"/>
      <w:r>
        <w:t xml:space="preserve"> frequency cell for load balancing reasons, MBMS purposes, etc. </w:t>
      </w:r>
      <w:r w:rsidR="00164CB1">
        <w:t xml:space="preserve">Especially in the case of load balancing, serving cells on other frequencies different than the primary frequency should be considered as candidate cells. </w:t>
      </w:r>
    </w:p>
    <w:p w14:paraId="439F962E" w14:textId="2B288848" w:rsidR="00164CB1" w:rsidRDefault="00164CB1" w:rsidP="00A33913">
      <w:pPr>
        <w:pStyle w:val="Proposal"/>
        <w:jc w:val="both"/>
      </w:pPr>
      <w:bookmarkStart w:id="2" w:name="_Hlk503500551"/>
      <w:r>
        <w:t xml:space="preserve">When Event A4 is configured, </w:t>
      </w:r>
      <w:proofErr w:type="spellStart"/>
      <w:r>
        <w:t>neighbouring</w:t>
      </w:r>
      <w:proofErr w:type="spellEnd"/>
      <w:r>
        <w:t xml:space="preserve"> cell shall be interpreted as any cell in the associated </w:t>
      </w:r>
      <w:proofErr w:type="spellStart"/>
      <w:r w:rsidRPr="00183189">
        <w:rPr>
          <w:i/>
        </w:rPr>
        <w:t>measObject</w:t>
      </w:r>
      <w:proofErr w:type="spellEnd"/>
      <w:r>
        <w:t xml:space="preserve"> that is not the </w:t>
      </w:r>
      <w:proofErr w:type="spellStart"/>
      <w:r>
        <w:t>PCell</w:t>
      </w:r>
      <w:proofErr w:type="spellEnd"/>
      <w:r w:rsidR="00EC147E">
        <w:t>.</w:t>
      </w:r>
      <w:bookmarkEnd w:id="2"/>
    </w:p>
    <w:p w14:paraId="10712309" w14:textId="22327E29" w:rsidR="00CD53AE" w:rsidRDefault="00CD53AE" w:rsidP="00A33913">
      <w:pPr>
        <w:jc w:val="both"/>
      </w:pPr>
      <w:r>
        <w:t xml:space="preserve">Yet another possible interpretation of a </w:t>
      </w:r>
      <w:proofErr w:type="spellStart"/>
      <w:r>
        <w:t>neighbour</w:t>
      </w:r>
      <w:proofErr w:type="spellEnd"/>
      <w:r>
        <w:t xml:space="preserve"> could be that it only considers </w:t>
      </w:r>
      <w:proofErr w:type="spellStart"/>
      <w:r>
        <w:t>neighbour</w:t>
      </w:r>
      <w:proofErr w:type="spellEnd"/>
      <w:r>
        <w:t xml:space="preserve"> frequencies, i.e., frequencies that do not have a configured serving cell. That would restrict the usage of event A4 for UEs configured with CA and should be clarified.</w:t>
      </w:r>
    </w:p>
    <w:p w14:paraId="49930536" w14:textId="271EDC54" w:rsidR="00CD53AE" w:rsidRDefault="00CD53AE" w:rsidP="00A33913">
      <w:pPr>
        <w:pStyle w:val="Proposal"/>
        <w:jc w:val="both"/>
      </w:pPr>
      <w:r>
        <w:t>Clarify that event A4 may be configured with any measurement object, i.e., associated to serving and/or non-serving frequencies.</w:t>
      </w:r>
    </w:p>
    <w:p w14:paraId="6B4BEF48" w14:textId="5DDCDD4B" w:rsidR="00CD53AE" w:rsidRDefault="00CD53AE" w:rsidP="00A33913">
      <w:pPr>
        <w:jc w:val="both"/>
      </w:pPr>
      <w:r>
        <w:lastRenderedPageBreak/>
        <w:t xml:space="preserve">Although the </w:t>
      </w:r>
      <w:r w:rsidR="00A8413E">
        <w:t>decisions restrict A4 event usability</w:t>
      </w:r>
      <w:r>
        <w:t xml:space="preserve">, some hacks could be done to still get some useful reports, e.g., by configuring A5 event with </w:t>
      </w:r>
      <w:proofErr w:type="spellStart"/>
      <w:r>
        <w:t>PCell</w:t>
      </w:r>
      <w:proofErr w:type="spellEnd"/>
      <w:r>
        <w:t xml:space="preserve"> having the highest threshold or configuring for the same </w:t>
      </w:r>
      <w:proofErr w:type="spellStart"/>
      <w:r>
        <w:t>measObject</w:t>
      </w:r>
      <w:proofErr w:type="spellEnd"/>
      <w:r>
        <w:t xml:space="preserve">(s) A1 and A4 simultaneously. However, the effect is far from optimal and just makes it cumbersome to configure and operate. </w:t>
      </w:r>
    </w:p>
    <w:p w14:paraId="0C1C1618" w14:textId="48DAF48F" w:rsidR="00E66917" w:rsidRDefault="00CD53AE" w:rsidP="00A33913">
      <w:pPr>
        <w:jc w:val="both"/>
      </w:pPr>
      <w:r w:rsidRPr="00F824EB">
        <w:t>There could be different ways t</w:t>
      </w:r>
      <w:r w:rsidR="00F824EB">
        <w:t xml:space="preserve">o remove the restriction </w:t>
      </w:r>
      <w:r w:rsidR="00595622" w:rsidRPr="00F824EB">
        <w:t>in the 3</w:t>
      </w:r>
      <w:r w:rsidR="00D82EDB" w:rsidRPr="00F824EB">
        <w:t>8</w:t>
      </w:r>
      <w:r w:rsidR="00595622" w:rsidRPr="00F824EB">
        <w:t>.331 specifications</w:t>
      </w:r>
      <w:r w:rsidRPr="00F824EB">
        <w:t>. One possibility would be to simply replace “</w:t>
      </w:r>
      <w:proofErr w:type="spellStart"/>
      <w:r w:rsidRPr="00F824EB">
        <w:t>neighbour</w:t>
      </w:r>
      <w:proofErr w:type="spellEnd"/>
      <w:r w:rsidRPr="00F824EB">
        <w:t xml:space="preserve">” by “any cell” in the specifications or even define </w:t>
      </w:r>
      <w:proofErr w:type="spellStart"/>
      <w:r w:rsidRPr="00F824EB">
        <w:t>neighbour</w:t>
      </w:r>
      <w:proofErr w:type="spellEnd"/>
      <w:r w:rsidRPr="00F824EB">
        <w:t xml:space="preserve"> as “any cell that is not the </w:t>
      </w:r>
      <w:proofErr w:type="spellStart"/>
      <w:r w:rsidRPr="00F824EB">
        <w:t>PCell</w:t>
      </w:r>
      <w:proofErr w:type="spellEnd"/>
      <w:r w:rsidRPr="00F824EB">
        <w:t xml:space="preserve">”. </w:t>
      </w:r>
      <w:r w:rsidR="00991E1B">
        <w:t xml:space="preserve">In </w:t>
      </w:r>
      <w:r w:rsidR="00991E1B">
        <w:fldChar w:fldCharType="begin"/>
      </w:r>
      <w:r w:rsidR="00991E1B">
        <w:instrText xml:space="preserve"> REF _Ref513204607 \r \h </w:instrText>
      </w:r>
      <w:r w:rsidR="002B2DA8">
        <w:instrText xml:space="preserve"> \* MERGEFORMAT </w:instrText>
      </w:r>
      <w:r w:rsidR="00991E1B">
        <w:fldChar w:fldCharType="separate"/>
      </w:r>
      <w:r w:rsidR="00991E1B">
        <w:t>[3]</w:t>
      </w:r>
      <w:r w:rsidR="00991E1B">
        <w:fldChar w:fldCharType="end"/>
      </w:r>
      <w:r w:rsidR="00991E1B">
        <w:t xml:space="preserve"> we introduce a CR proposing the second approach.</w:t>
      </w:r>
    </w:p>
    <w:p w14:paraId="090DC3D1" w14:textId="45C5BEC5" w:rsidR="00F15EAA" w:rsidRDefault="00991E1B" w:rsidP="00A33913">
      <w:pPr>
        <w:pStyle w:val="Proposal"/>
        <w:jc w:val="both"/>
      </w:pPr>
      <w:r>
        <w:t xml:space="preserve">Discuss how to </w:t>
      </w:r>
      <w:r w:rsidR="002B2DA8">
        <w:t>clarify the neighbor definition for</w:t>
      </w:r>
      <w:r>
        <w:t xml:space="preserve"> event A4 in 38.331.</w:t>
      </w:r>
    </w:p>
    <w:p w14:paraId="5FE7037E" w14:textId="77777777" w:rsidR="002F21FD" w:rsidRDefault="002F21FD" w:rsidP="002F21FD">
      <w:pPr>
        <w:jc w:val="both"/>
      </w:pPr>
      <w:r>
        <w:t xml:space="preserve">However, in RAN2_83bis the following agreements were made </w:t>
      </w:r>
      <w:r>
        <w:fldChar w:fldCharType="begin"/>
      </w:r>
      <w:r>
        <w:instrText xml:space="preserve"> REF _Ref513202904 \r \h  \* MERGEFORMAT </w:instrText>
      </w:r>
      <w:r>
        <w:fldChar w:fldCharType="separate"/>
      </w:r>
      <w:r>
        <w:fldChar w:fldCharType="begin"/>
      </w:r>
      <w:r>
        <w:instrText xml:space="preserve"> REF _Ref513203443 \r \h  \* MERGEFORMAT </w:instrText>
      </w:r>
      <w:r>
        <w:fldChar w:fldCharType="separate"/>
      </w:r>
      <w:r>
        <w:t>[2]</w:t>
      </w:r>
      <w:r>
        <w:fldChar w:fldCharType="end"/>
      </w:r>
      <w:r>
        <w:fldChar w:fldCharType="end"/>
      </w:r>
      <w:r>
        <w:t>:</w:t>
      </w:r>
    </w:p>
    <w:p w14:paraId="3C7DF3BB" w14:textId="77777777" w:rsidR="002F21FD" w:rsidRPr="00A8413E" w:rsidRDefault="002F21FD" w:rsidP="002F21FD">
      <w:pPr>
        <w:pStyle w:val="Doc-text2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2F21FD" w14:paraId="606D2DE5" w14:textId="77777777" w:rsidTr="00A208F3">
        <w:tc>
          <w:tcPr>
            <w:tcW w:w="9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298B" w14:textId="77777777" w:rsidR="002F21FD" w:rsidRPr="00B35AB1" w:rsidRDefault="002F21FD" w:rsidP="00A208F3">
            <w:pPr>
              <w:pStyle w:val="Doc-text2"/>
              <w:ind w:left="340" w:hanging="340"/>
              <w:jc w:val="both"/>
              <w:rPr>
                <w:lang w:val="en-GB"/>
              </w:rPr>
            </w:pPr>
            <w:r>
              <w:rPr>
                <w:b/>
                <w:bCs/>
              </w:rPr>
              <w:t>Agreements</w:t>
            </w:r>
          </w:p>
          <w:p w14:paraId="52D2A6D1" w14:textId="77777777" w:rsidR="002F21FD" w:rsidRDefault="002F21FD" w:rsidP="00A208F3">
            <w:pPr>
              <w:pStyle w:val="Doc-text2"/>
              <w:ind w:left="340" w:hanging="340"/>
              <w:jc w:val="both"/>
            </w:pPr>
          </w:p>
          <w:p w14:paraId="76567A49" w14:textId="77777777" w:rsidR="002F21FD" w:rsidRDefault="002F21FD" w:rsidP="00A208F3">
            <w:pPr>
              <w:pStyle w:val="Doc-text2"/>
              <w:ind w:left="340" w:hanging="340"/>
              <w:jc w:val="both"/>
            </w:pPr>
            <w:r>
              <w:t>RAN2 confirms that…</w:t>
            </w:r>
          </w:p>
          <w:p w14:paraId="6E9E44F8" w14:textId="77777777" w:rsidR="002F21FD" w:rsidRDefault="002F21FD" w:rsidP="00A208F3">
            <w:pPr>
              <w:pStyle w:val="Doc-text2"/>
              <w:ind w:left="340" w:hanging="340"/>
              <w:jc w:val="both"/>
            </w:pPr>
          </w:p>
          <w:p w14:paraId="48C8C113" w14:textId="77777777" w:rsidR="002F21FD" w:rsidRDefault="002F21FD" w:rsidP="00A208F3">
            <w:pPr>
              <w:pStyle w:val="Doc-text2"/>
              <w:ind w:left="340" w:hanging="340"/>
              <w:jc w:val="both"/>
            </w:pPr>
            <w:r>
              <w:t xml:space="preserve">1    </w:t>
            </w:r>
            <w:r>
              <w:rPr>
                <w:b/>
                <w:bCs/>
              </w:rPr>
              <w:t xml:space="preserve">Currently UE shall include 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in </w:t>
            </w:r>
            <w:proofErr w:type="spellStart"/>
            <w:r>
              <w:rPr>
                <w:b/>
                <w:bCs/>
              </w:rPr>
              <w:t>measResultNeighCells</w:t>
            </w:r>
            <w:proofErr w:type="spellEnd"/>
            <w:r>
              <w:rPr>
                <w:b/>
                <w:bCs/>
              </w:rPr>
              <w:t xml:space="preserve"> only for event A3 and A5 where 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is considered to be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neighbouring</w:t>
            </w:r>
            <w:proofErr w:type="spellEnd"/>
            <w:r>
              <w:rPr>
                <w:b/>
                <w:bCs/>
              </w:rPr>
              <w:t xml:space="preserve"> cell by the exception rule</w:t>
            </w:r>
            <w:r>
              <w:t xml:space="preserve">. </w:t>
            </w:r>
          </w:p>
          <w:p w14:paraId="58A3CDCB" w14:textId="77777777" w:rsidR="002F21FD" w:rsidRDefault="002F21FD" w:rsidP="00A208F3">
            <w:pPr>
              <w:pStyle w:val="Doc-text2"/>
              <w:ind w:left="340" w:hanging="340"/>
              <w:jc w:val="both"/>
            </w:pPr>
            <w:r>
              <w:t>1</w:t>
            </w:r>
            <w:proofErr w:type="gramStart"/>
            <w:r>
              <w:t>a  An</w:t>
            </w:r>
            <w:proofErr w:type="gram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measurement may then occur twice in the measurement report (once as </w:t>
            </w:r>
            <w:proofErr w:type="spellStart"/>
            <w:r>
              <w:t>neighbour</w:t>
            </w:r>
            <w:proofErr w:type="spellEnd"/>
            <w:r>
              <w:t xml:space="preserve"> and once as serving cell)</w:t>
            </w:r>
          </w:p>
          <w:p w14:paraId="1F1AC10F" w14:textId="77777777" w:rsidR="002F21FD" w:rsidRDefault="002F21FD" w:rsidP="00A208F3">
            <w:pPr>
              <w:pStyle w:val="Doc-text2"/>
              <w:ind w:left="340" w:hanging="340"/>
              <w:jc w:val="both"/>
            </w:pPr>
          </w:p>
        </w:tc>
      </w:tr>
    </w:tbl>
    <w:p w14:paraId="61107B38" w14:textId="77777777" w:rsidR="002F21FD" w:rsidRDefault="002F21FD" w:rsidP="00A33913">
      <w:pPr>
        <w:jc w:val="both"/>
      </w:pPr>
    </w:p>
    <w:p w14:paraId="619BA00E" w14:textId="3CCF4F27" w:rsidR="002F21FD" w:rsidRDefault="002F21FD" w:rsidP="00A33913">
      <w:pPr>
        <w:jc w:val="both"/>
      </w:pPr>
      <w:r>
        <w:t xml:space="preserve">Hence in A5 event, the UE considers </w:t>
      </w:r>
      <w:proofErr w:type="spellStart"/>
      <w:r>
        <w:t>SCell</w:t>
      </w:r>
      <w:proofErr w:type="spellEnd"/>
      <w:r>
        <w:t xml:space="preserve">(s) as neighbor cells and the </w:t>
      </w:r>
      <w:proofErr w:type="spellStart"/>
      <w:r>
        <w:t>SCell</w:t>
      </w:r>
      <w:proofErr w:type="spellEnd"/>
      <w:r>
        <w:t xml:space="preserve"> report might appear twice. The exception rule mentioned in the above agreements is also captured in 38.331 as:</w:t>
      </w:r>
    </w:p>
    <w:p w14:paraId="415FA64A" w14:textId="77777777" w:rsidR="002F21FD" w:rsidRPr="00000A61" w:rsidRDefault="002F21FD" w:rsidP="002F21FD">
      <w:pPr>
        <w:pStyle w:val="B5"/>
        <w:ind w:left="1418" w:firstLine="0"/>
      </w:pPr>
      <w:r w:rsidRPr="00000A61">
        <w:t>5&gt;</w:t>
      </w:r>
      <w:r w:rsidRPr="00000A61">
        <w:tab/>
      </w:r>
      <w:r w:rsidRPr="00DD5395">
        <w:t xml:space="preserve">for events involving a serving cell on one frequency and </w:t>
      </w:r>
      <w:proofErr w:type="spellStart"/>
      <w:r w:rsidRPr="00DD5395">
        <w:t>neighbours</w:t>
      </w:r>
      <w:proofErr w:type="spellEnd"/>
      <w:r w:rsidRPr="00DD5395">
        <w:t xml:space="preserve"> on another frequency, consider the serving cell on the other frequency as a </w:t>
      </w:r>
      <w:proofErr w:type="spellStart"/>
      <w:r w:rsidRPr="00DD5395">
        <w:t>neighbouring</w:t>
      </w:r>
      <w:proofErr w:type="spellEnd"/>
      <w:r w:rsidRPr="00DD5395">
        <w:t xml:space="preserve"> cell;</w:t>
      </w:r>
    </w:p>
    <w:p w14:paraId="720E635F" w14:textId="61DA0F32" w:rsidR="000F3016" w:rsidRDefault="00C60224" w:rsidP="00A33913">
      <w:pPr>
        <w:jc w:val="both"/>
      </w:pPr>
      <w:r>
        <w:t>In NR, this behavior</w:t>
      </w:r>
      <w:r w:rsidR="002F21FD">
        <w:t xml:space="preserve"> for A5 event</w:t>
      </w:r>
      <w:r>
        <w:t xml:space="preserve"> </w:t>
      </w:r>
      <w:r w:rsidR="002F21FD">
        <w:t xml:space="preserve">is </w:t>
      </w:r>
      <w:r>
        <w:t xml:space="preserve">supported. </w:t>
      </w:r>
      <w:r w:rsidR="002F21FD">
        <w:t>On the other hand</w:t>
      </w:r>
      <w:r>
        <w:t xml:space="preserve">, for A6 events neighbor cells are defined as cells belonging to same frequency as </w:t>
      </w:r>
      <w:proofErr w:type="spellStart"/>
      <w:r>
        <w:t>SCell</w:t>
      </w:r>
      <w:proofErr w:type="spellEnd"/>
      <w:r>
        <w:t xml:space="preserve"> where the </w:t>
      </w:r>
      <w:proofErr w:type="spellStart"/>
      <w:r>
        <w:t>SCell</w:t>
      </w:r>
      <w:proofErr w:type="spellEnd"/>
      <w:r>
        <w:t xml:space="preserve"> is considered as serving cell only.</w:t>
      </w:r>
    </w:p>
    <w:p w14:paraId="4BA62D59" w14:textId="3A2385E0" w:rsidR="000F3016" w:rsidRDefault="000F3016" w:rsidP="00A33913">
      <w:pPr>
        <w:pStyle w:val="Observation"/>
        <w:jc w:val="both"/>
      </w:pPr>
      <w:r>
        <w:t xml:space="preserve">Interpretation of “neighbor” cell is event specific in </w:t>
      </w:r>
      <w:r w:rsidR="003E353B">
        <w:t>NR</w:t>
      </w:r>
    </w:p>
    <w:p w14:paraId="4E345E83" w14:textId="120DFE11" w:rsidR="00F15EAA" w:rsidRDefault="00A65823" w:rsidP="00A33913">
      <w:pPr>
        <w:jc w:val="both"/>
      </w:pPr>
      <w:r>
        <w:t>Since definition of neighbor cells remain event specific</w:t>
      </w:r>
      <w:r w:rsidR="002F21FD">
        <w:t xml:space="preserve"> in NR</w:t>
      </w:r>
      <w:r>
        <w:t xml:space="preserve">, the definition of neighbor cell(s) can be clarified for each event. For A6 event, it is defined in </w:t>
      </w:r>
      <w:r w:rsidR="00103D07">
        <w:t>TS</w:t>
      </w:r>
      <w:r>
        <w:t>38.331 as:</w:t>
      </w:r>
    </w:p>
    <w:p w14:paraId="4706D325" w14:textId="24D558D3" w:rsidR="00E963EC" w:rsidRDefault="00E963EC" w:rsidP="00A33913">
      <w:pPr>
        <w:pStyle w:val="B1"/>
        <w:numPr>
          <w:ilvl w:val="0"/>
          <w:numId w:val="23"/>
        </w:numPr>
        <w:jc w:val="both"/>
      </w:pPr>
      <w:r w:rsidRPr="00000A61">
        <w:t xml:space="preserve">for this measurement, consider the (secondary) cell that is configured on the frequency indicated in the associated </w:t>
      </w:r>
      <w:proofErr w:type="spellStart"/>
      <w:r w:rsidRPr="00000A61">
        <w:rPr>
          <w:i/>
        </w:rPr>
        <w:t>measObjectNR</w:t>
      </w:r>
      <w:proofErr w:type="spellEnd"/>
      <w:r>
        <w:t xml:space="preserve"> to be the serving cell.</w:t>
      </w:r>
    </w:p>
    <w:p w14:paraId="1EA8CE45" w14:textId="77777777" w:rsidR="00E963EC" w:rsidRPr="00000A61" w:rsidRDefault="00E963EC" w:rsidP="00A33913">
      <w:pPr>
        <w:pStyle w:val="NO"/>
        <w:ind w:left="644" w:firstLine="490"/>
        <w:jc w:val="both"/>
      </w:pPr>
      <w:r w:rsidRPr="00000A61">
        <w:rPr>
          <w:lang w:eastAsia="ko-KR"/>
        </w:rPr>
        <w:t>NOTE:</w:t>
      </w:r>
      <w:r w:rsidRPr="00000A61">
        <w:rPr>
          <w:lang w:eastAsia="ko-KR"/>
        </w:rPr>
        <w:tab/>
        <w:t xml:space="preserve">The neighbour(s) is on the same frequency as the </w:t>
      </w:r>
      <w:proofErr w:type="spellStart"/>
      <w:r w:rsidRPr="00000A61">
        <w:rPr>
          <w:lang w:eastAsia="ko-KR"/>
        </w:rPr>
        <w:t>SCell</w:t>
      </w:r>
      <w:proofErr w:type="spellEnd"/>
      <w:r w:rsidRPr="00000A61">
        <w:rPr>
          <w:lang w:eastAsia="ko-KR"/>
        </w:rPr>
        <w:t xml:space="preserve"> i.e. both are on the frequency indicated in the associated </w:t>
      </w:r>
      <w:proofErr w:type="spellStart"/>
      <w:r w:rsidRPr="00000A61">
        <w:rPr>
          <w:i/>
          <w:lang w:eastAsia="ko-KR"/>
        </w:rPr>
        <w:t>measObject</w:t>
      </w:r>
      <w:proofErr w:type="spellEnd"/>
      <w:r w:rsidRPr="00000A61">
        <w:rPr>
          <w:lang w:eastAsia="ko-KR"/>
        </w:rPr>
        <w:t>.</w:t>
      </w:r>
    </w:p>
    <w:p w14:paraId="7621746B" w14:textId="3E8C01C7" w:rsidR="00A33913" w:rsidRDefault="00A33913" w:rsidP="00A33913">
      <w:pPr>
        <w:pStyle w:val="Observation"/>
        <w:jc w:val="both"/>
      </w:pPr>
      <w:r>
        <w:t>Definition of neighbor for A6 event is explicitly mentioned in 38.331</w:t>
      </w:r>
    </w:p>
    <w:p w14:paraId="2E8E5165" w14:textId="0362E1D7" w:rsidR="00E963EC" w:rsidRDefault="00A33913" w:rsidP="00A33913">
      <w:pPr>
        <w:pStyle w:val="B1"/>
        <w:ind w:left="0" w:firstLine="0"/>
        <w:jc w:val="both"/>
      </w:pPr>
      <w:r>
        <w:t>Hence, it can be clarified for A5 event also to avoid future ambiguities. Such an</w:t>
      </w:r>
      <w:r w:rsidR="00E963EC">
        <w:t xml:space="preserve"> approach has been proposed in </w:t>
      </w:r>
      <w:r w:rsidR="00E963EC">
        <w:fldChar w:fldCharType="begin"/>
      </w:r>
      <w:r w:rsidR="00E963EC">
        <w:instrText xml:space="preserve"> REF _Ref513212095 \w \h </w:instrText>
      </w:r>
      <w:r>
        <w:instrText xml:space="preserve"> \* MERGEFORMAT </w:instrText>
      </w:r>
      <w:r w:rsidR="00E963EC">
        <w:fldChar w:fldCharType="separate"/>
      </w:r>
      <w:r w:rsidR="00E963EC">
        <w:t>[4]</w:t>
      </w:r>
      <w:r w:rsidR="00E963EC">
        <w:fldChar w:fldCharType="end"/>
      </w:r>
      <w:r w:rsidR="00E963EC">
        <w:t xml:space="preserve"> to clarify A5 event.</w:t>
      </w:r>
    </w:p>
    <w:p w14:paraId="15B39FDC" w14:textId="119B5F6C" w:rsidR="00E963EC" w:rsidRDefault="00E963EC" w:rsidP="00A33913">
      <w:pPr>
        <w:pStyle w:val="Proposal"/>
        <w:jc w:val="both"/>
      </w:pPr>
      <w:r>
        <w:t xml:space="preserve">Include neighbor definition for </w:t>
      </w:r>
      <w:r w:rsidR="003C61CA">
        <w:t>A5 event</w:t>
      </w:r>
      <w:r>
        <w:t xml:space="preserve"> in 38.331.</w:t>
      </w:r>
    </w:p>
    <w:p w14:paraId="3050AC82" w14:textId="77777777" w:rsidR="00E963EC" w:rsidRPr="00000A61" w:rsidRDefault="00E963EC" w:rsidP="00A33913">
      <w:pPr>
        <w:pStyle w:val="B1"/>
        <w:ind w:left="0" w:firstLine="0"/>
        <w:jc w:val="both"/>
      </w:pPr>
    </w:p>
    <w:p w14:paraId="7B1FE596" w14:textId="77777777" w:rsidR="00F15EAA" w:rsidRPr="00F824EB" w:rsidRDefault="00F15EAA" w:rsidP="00A33913">
      <w:pPr>
        <w:pStyle w:val="Proposal"/>
        <w:numPr>
          <w:ilvl w:val="0"/>
          <w:numId w:val="0"/>
        </w:numPr>
        <w:jc w:val="both"/>
      </w:pPr>
    </w:p>
    <w:p w14:paraId="2C883E48" w14:textId="77777777" w:rsidR="00C01F33" w:rsidRPr="00CE0424" w:rsidRDefault="00C01F33" w:rsidP="00A33913">
      <w:pPr>
        <w:pStyle w:val="Heading1"/>
        <w:jc w:val="both"/>
      </w:pPr>
      <w:r w:rsidRPr="00CE0424">
        <w:lastRenderedPageBreak/>
        <w:t>Conclusion</w:t>
      </w:r>
    </w:p>
    <w:p w14:paraId="18ED2A4D" w14:textId="302F8220" w:rsidR="008E065E" w:rsidRDefault="008E065E" w:rsidP="00A33913">
      <w:pPr>
        <w:pStyle w:val="BodyText"/>
        <w:jc w:val="both"/>
        <w:rPr>
          <w:b/>
          <w:bCs/>
        </w:rPr>
      </w:pPr>
      <w:r w:rsidRPr="00CE0424">
        <w:t>Based on the discussion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end"/>
      </w:r>
    </w:p>
    <w:p w14:paraId="43B0ACDA" w14:textId="77777777" w:rsidR="00C25A74" w:rsidRDefault="00C25A74" w:rsidP="00A33913">
      <w:pPr>
        <w:pStyle w:val="Proposal"/>
        <w:numPr>
          <w:ilvl w:val="0"/>
          <w:numId w:val="22"/>
        </w:numPr>
        <w:tabs>
          <w:tab w:val="clear" w:pos="1304"/>
          <w:tab w:val="num" w:pos="1890"/>
        </w:tabs>
        <w:ind w:left="1710" w:hanging="1710"/>
        <w:jc w:val="both"/>
      </w:pPr>
      <w:r>
        <w:t xml:space="preserve">When Event A4 is configured, </w:t>
      </w:r>
      <w:proofErr w:type="spellStart"/>
      <w:r>
        <w:t>neighbouring</w:t>
      </w:r>
      <w:proofErr w:type="spellEnd"/>
      <w:r>
        <w:t xml:space="preserve"> cell shall be interpreted as any cell in the associated </w:t>
      </w:r>
      <w:proofErr w:type="spellStart"/>
      <w:r>
        <w:t>measObject</w:t>
      </w:r>
      <w:proofErr w:type="spellEnd"/>
      <w:r>
        <w:t xml:space="preserve"> that is not the </w:t>
      </w:r>
      <w:proofErr w:type="spellStart"/>
      <w:r>
        <w:t>PCell</w:t>
      </w:r>
      <w:proofErr w:type="spellEnd"/>
      <w:r>
        <w:t>.</w:t>
      </w:r>
    </w:p>
    <w:p w14:paraId="7F33A424" w14:textId="77777777" w:rsidR="00C25A74" w:rsidRDefault="00C25A74" w:rsidP="00A33913">
      <w:pPr>
        <w:pStyle w:val="Proposal"/>
        <w:jc w:val="both"/>
      </w:pPr>
      <w:r>
        <w:t>Clarify that event A4 may be configured with any measurement object, i.e., associated to serving and/or non-serving frequencies.</w:t>
      </w:r>
    </w:p>
    <w:p w14:paraId="554E1CF8" w14:textId="4E4F41CB" w:rsidR="002B2DA8" w:rsidRDefault="002B2DA8" w:rsidP="00A33913">
      <w:pPr>
        <w:pStyle w:val="Proposal"/>
        <w:jc w:val="both"/>
      </w:pPr>
      <w:r>
        <w:t>Discuss how to clarify the neighbor definition for event A4 in 38.331.</w:t>
      </w:r>
    </w:p>
    <w:p w14:paraId="519BE907" w14:textId="2E3CCE44" w:rsidR="00E963EC" w:rsidRDefault="00E963EC" w:rsidP="00A33913">
      <w:pPr>
        <w:pStyle w:val="Proposal"/>
        <w:jc w:val="both"/>
      </w:pPr>
      <w:r>
        <w:t xml:space="preserve">Include neighbor definition for </w:t>
      </w:r>
      <w:r w:rsidR="003C61CA">
        <w:t>A5</w:t>
      </w:r>
      <w:r>
        <w:t xml:space="preserve"> event in 38.331.</w:t>
      </w:r>
    </w:p>
    <w:p w14:paraId="3A479EEC" w14:textId="77777777" w:rsidR="005B2443" w:rsidRPr="00CE0424" w:rsidRDefault="005B2443" w:rsidP="00A33913">
      <w:pPr>
        <w:pStyle w:val="Heading1"/>
        <w:jc w:val="both"/>
      </w:pPr>
      <w:r w:rsidRPr="00CE0424">
        <w:t>References</w:t>
      </w:r>
    </w:p>
    <w:p w14:paraId="2685450A" w14:textId="0E075785" w:rsidR="005B2443" w:rsidRDefault="005B2443" w:rsidP="000378EE">
      <w:pPr>
        <w:pStyle w:val="Reference"/>
      </w:pPr>
      <w:bookmarkStart w:id="3" w:name="_Ref513203422"/>
      <w:bookmarkStart w:id="4" w:name="_Ref503179870"/>
      <w:bookmarkStart w:id="5" w:name="_Ref174151459"/>
      <w:bookmarkStart w:id="6" w:name="_Ref189809556"/>
      <w:bookmarkStart w:id="7" w:name="_Ref513202904"/>
      <w:r>
        <w:t xml:space="preserve">Chairman’s report RAN2#83; </w:t>
      </w:r>
      <w:hyperlink r:id="rId8" w:history="1">
        <w:r w:rsidRPr="00C15DEF">
          <w:rPr>
            <w:rStyle w:val="Hyperlink"/>
            <w:lang w:val="en-US"/>
          </w:rPr>
          <w:t>http://www.3gpp.org/ftp/tsg_ran/WG2_RL2/TSGR2_83/Report/R2-133723.zip</w:t>
        </w:r>
      </w:hyperlink>
      <w:bookmarkEnd w:id="3"/>
      <w:r>
        <w:t xml:space="preserve"> </w:t>
      </w:r>
    </w:p>
    <w:p w14:paraId="7CD01CE9" w14:textId="65D84EB2" w:rsidR="00D3724B" w:rsidRDefault="005B2443" w:rsidP="000378EE">
      <w:pPr>
        <w:pStyle w:val="Reference"/>
      </w:pPr>
      <w:bookmarkStart w:id="8" w:name="_Ref513203443"/>
      <w:r>
        <w:t>Chairman’s report RAN2#83_bis;</w:t>
      </w:r>
      <w:bookmarkEnd w:id="4"/>
      <w:bookmarkEnd w:id="5"/>
      <w:bookmarkEnd w:id="6"/>
      <w:r>
        <w:t xml:space="preserve"> </w:t>
      </w:r>
      <w:hyperlink r:id="rId9" w:history="1">
        <w:r w:rsidRPr="00C15DEF">
          <w:rPr>
            <w:rStyle w:val="Hyperlink"/>
            <w:lang w:val="en-US"/>
          </w:rPr>
          <w:t>http://www.3gpp.org/ftp/tsg_ran/wg2_rl2/TSGR2_83bis/Report/tmp/RAN2-83bis%20Chairman%20Notes%202013-10-11%201630.zip</w:t>
        </w:r>
      </w:hyperlink>
      <w:bookmarkEnd w:id="7"/>
      <w:bookmarkEnd w:id="8"/>
    </w:p>
    <w:p w14:paraId="364FF47B" w14:textId="3B15F57A" w:rsidR="00A65823" w:rsidRDefault="00A65823" w:rsidP="000378EE">
      <w:pPr>
        <w:pStyle w:val="Reference"/>
      </w:pPr>
      <w:r>
        <w:t>CR to 38.331 for A4 event</w:t>
      </w:r>
    </w:p>
    <w:p w14:paraId="11FDCE6B" w14:textId="08D7CF07" w:rsidR="00A65823" w:rsidRPr="00A65823" w:rsidRDefault="00A65823" w:rsidP="000378EE">
      <w:pPr>
        <w:pStyle w:val="Reference"/>
      </w:pPr>
      <w:bookmarkStart w:id="9" w:name="_Ref513212095"/>
      <w:r>
        <w:t>CR to 38.331 for A5 event</w:t>
      </w:r>
      <w:bookmarkEnd w:id="9"/>
    </w:p>
    <w:sectPr w:rsidR="00A65823" w:rsidRPr="00A65823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2DD07" w14:textId="77777777" w:rsidR="001829E4" w:rsidRDefault="001829E4">
      <w:r>
        <w:separator/>
      </w:r>
    </w:p>
  </w:endnote>
  <w:endnote w:type="continuationSeparator" w:id="0">
    <w:p w14:paraId="224D1D2F" w14:textId="77777777" w:rsidR="001829E4" w:rsidRDefault="001829E4">
      <w:r>
        <w:continuationSeparator/>
      </w:r>
    </w:p>
  </w:endnote>
  <w:endnote w:type="continuationNotice" w:id="1">
    <w:p w14:paraId="60C42EE4" w14:textId="77777777" w:rsidR="001829E4" w:rsidRDefault="00182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C2820" w14:textId="7763C1D9" w:rsidR="00B806AA" w:rsidRDefault="00B806AA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0EB8A" w14:textId="77777777" w:rsidR="001829E4" w:rsidRDefault="001829E4">
      <w:r>
        <w:separator/>
      </w:r>
    </w:p>
  </w:footnote>
  <w:footnote w:type="continuationSeparator" w:id="0">
    <w:p w14:paraId="79E5C912" w14:textId="77777777" w:rsidR="001829E4" w:rsidRDefault="001829E4">
      <w:r>
        <w:continuationSeparator/>
      </w:r>
    </w:p>
  </w:footnote>
  <w:footnote w:type="continuationNotice" w:id="1">
    <w:p w14:paraId="137DE3C7" w14:textId="77777777" w:rsidR="001829E4" w:rsidRDefault="001829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7BD256F"/>
    <w:multiLevelType w:val="hybridMultilevel"/>
    <w:tmpl w:val="C8BA0DDE"/>
    <w:lvl w:ilvl="0" w:tplc="C3924D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8C0DA6"/>
    <w:multiLevelType w:val="hybridMultilevel"/>
    <w:tmpl w:val="13D8B1EE"/>
    <w:lvl w:ilvl="0" w:tplc="D3DEA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AA697C"/>
    <w:multiLevelType w:val="hybridMultilevel"/>
    <w:tmpl w:val="39EC8704"/>
    <w:lvl w:ilvl="0" w:tplc="2C8E8B08">
      <w:start w:val="9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B2CD6"/>
    <w:multiLevelType w:val="hybridMultilevel"/>
    <w:tmpl w:val="3684F662"/>
    <w:lvl w:ilvl="0" w:tplc="F2985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D2B02"/>
    <w:multiLevelType w:val="hybridMultilevel"/>
    <w:tmpl w:val="28C808B0"/>
    <w:lvl w:ilvl="0" w:tplc="5E08EA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74DE8"/>
    <w:multiLevelType w:val="hybridMultilevel"/>
    <w:tmpl w:val="DA463D12"/>
    <w:lvl w:ilvl="0" w:tplc="4E465D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1"/>
  </w:num>
  <w:num w:numId="19">
    <w:abstractNumId w:val="7"/>
  </w:num>
  <w:num w:numId="20">
    <w:abstractNumId w:val="12"/>
  </w:num>
  <w:num w:numId="21">
    <w:abstractNumId w:val="18"/>
  </w:num>
  <w:num w:numId="22">
    <w:abstractNumId w:val="13"/>
    <w:lvlOverride w:ilvl="0">
      <w:startOverride w:val="1"/>
    </w:lvlOverride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917"/>
    <w:rsid w:val="000006E1"/>
    <w:rsid w:val="00002A37"/>
    <w:rsid w:val="000039F4"/>
    <w:rsid w:val="00006446"/>
    <w:rsid w:val="00006896"/>
    <w:rsid w:val="00007CDC"/>
    <w:rsid w:val="00011B28"/>
    <w:rsid w:val="000136FF"/>
    <w:rsid w:val="00015D15"/>
    <w:rsid w:val="0002564D"/>
    <w:rsid w:val="00025ECA"/>
    <w:rsid w:val="000325B8"/>
    <w:rsid w:val="00034C15"/>
    <w:rsid w:val="00036BA1"/>
    <w:rsid w:val="000378EE"/>
    <w:rsid w:val="000422E2"/>
    <w:rsid w:val="00042F22"/>
    <w:rsid w:val="000444EF"/>
    <w:rsid w:val="00050600"/>
    <w:rsid w:val="00052A07"/>
    <w:rsid w:val="000534E3"/>
    <w:rsid w:val="0005606A"/>
    <w:rsid w:val="00057117"/>
    <w:rsid w:val="000616E7"/>
    <w:rsid w:val="0006487E"/>
    <w:rsid w:val="00065E1A"/>
    <w:rsid w:val="000726D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016"/>
    <w:rsid w:val="000F3BE9"/>
    <w:rsid w:val="000F3F6C"/>
    <w:rsid w:val="000F6DF3"/>
    <w:rsid w:val="001005FF"/>
    <w:rsid w:val="00103D07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D1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CB1"/>
    <w:rsid w:val="001659C1"/>
    <w:rsid w:val="00173A8E"/>
    <w:rsid w:val="00177795"/>
    <w:rsid w:val="0018143F"/>
    <w:rsid w:val="001829E4"/>
    <w:rsid w:val="00183189"/>
    <w:rsid w:val="00186F45"/>
    <w:rsid w:val="00190AC1"/>
    <w:rsid w:val="0019341A"/>
    <w:rsid w:val="00197DF9"/>
    <w:rsid w:val="001A0223"/>
    <w:rsid w:val="001A0527"/>
    <w:rsid w:val="001A1987"/>
    <w:rsid w:val="001A2564"/>
    <w:rsid w:val="001A2D01"/>
    <w:rsid w:val="001A3DB9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34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CF1"/>
    <w:rsid w:val="00292EB7"/>
    <w:rsid w:val="00296227"/>
    <w:rsid w:val="00296F44"/>
    <w:rsid w:val="0029777D"/>
    <w:rsid w:val="002A055E"/>
    <w:rsid w:val="002A1D4E"/>
    <w:rsid w:val="002A2869"/>
    <w:rsid w:val="002A7561"/>
    <w:rsid w:val="002B24D6"/>
    <w:rsid w:val="002B2DA8"/>
    <w:rsid w:val="002C41E6"/>
    <w:rsid w:val="002D071A"/>
    <w:rsid w:val="002D2A8D"/>
    <w:rsid w:val="002D34B2"/>
    <w:rsid w:val="002D7637"/>
    <w:rsid w:val="002E17F2"/>
    <w:rsid w:val="002E7CAE"/>
    <w:rsid w:val="002F21FD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30B"/>
    <w:rsid w:val="003203ED"/>
    <w:rsid w:val="00322C9F"/>
    <w:rsid w:val="00324D23"/>
    <w:rsid w:val="00331751"/>
    <w:rsid w:val="00334579"/>
    <w:rsid w:val="00335858"/>
    <w:rsid w:val="00336BDA"/>
    <w:rsid w:val="003373B9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61CA"/>
    <w:rsid w:val="003C7806"/>
    <w:rsid w:val="003D109F"/>
    <w:rsid w:val="003D2478"/>
    <w:rsid w:val="003D3C45"/>
    <w:rsid w:val="003D5B1F"/>
    <w:rsid w:val="003E15FA"/>
    <w:rsid w:val="003E353B"/>
    <w:rsid w:val="003E55E4"/>
    <w:rsid w:val="003E5C2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3D0D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1CC2"/>
    <w:rsid w:val="004734D0"/>
    <w:rsid w:val="0047556B"/>
    <w:rsid w:val="00477768"/>
    <w:rsid w:val="00492BC5"/>
    <w:rsid w:val="004964F1"/>
    <w:rsid w:val="004A16BC"/>
    <w:rsid w:val="004A2B94"/>
    <w:rsid w:val="004B7C0C"/>
    <w:rsid w:val="004C132A"/>
    <w:rsid w:val="004C2DB9"/>
    <w:rsid w:val="004C3898"/>
    <w:rsid w:val="004D36B1"/>
    <w:rsid w:val="004D7EBD"/>
    <w:rsid w:val="004E2680"/>
    <w:rsid w:val="004E28F9"/>
    <w:rsid w:val="004E3844"/>
    <w:rsid w:val="004E462E"/>
    <w:rsid w:val="004E56DC"/>
    <w:rsid w:val="004E76F4"/>
    <w:rsid w:val="004F0B4E"/>
    <w:rsid w:val="004F0B6C"/>
    <w:rsid w:val="004F2078"/>
    <w:rsid w:val="004F4DA3"/>
    <w:rsid w:val="004F61C6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1CAA"/>
    <w:rsid w:val="00546970"/>
    <w:rsid w:val="00554E19"/>
    <w:rsid w:val="005560F1"/>
    <w:rsid w:val="0056121F"/>
    <w:rsid w:val="00561678"/>
    <w:rsid w:val="005701DA"/>
    <w:rsid w:val="00572505"/>
    <w:rsid w:val="00582809"/>
    <w:rsid w:val="0058798C"/>
    <w:rsid w:val="005900FA"/>
    <w:rsid w:val="005935A4"/>
    <w:rsid w:val="005948C2"/>
    <w:rsid w:val="00595622"/>
    <w:rsid w:val="00595DCA"/>
    <w:rsid w:val="0059779B"/>
    <w:rsid w:val="005A1D76"/>
    <w:rsid w:val="005A209A"/>
    <w:rsid w:val="005A662D"/>
    <w:rsid w:val="005B2443"/>
    <w:rsid w:val="005B35D7"/>
    <w:rsid w:val="005B392A"/>
    <w:rsid w:val="005B3AA3"/>
    <w:rsid w:val="005B591A"/>
    <w:rsid w:val="005B6F83"/>
    <w:rsid w:val="005C74FB"/>
    <w:rsid w:val="005D1602"/>
    <w:rsid w:val="005D5443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2A3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25B"/>
    <w:rsid w:val="00707D61"/>
    <w:rsid w:val="00712287"/>
    <w:rsid w:val="00712772"/>
    <w:rsid w:val="007148D3"/>
    <w:rsid w:val="00715B9A"/>
    <w:rsid w:val="00726EA6"/>
    <w:rsid w:val="00727208"/>
    <w:rsid w:val="00727680"/>
    <w:rsid w:val="00727B2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A41"/>
    <w:rsid w:val="0078177E"/>
    <w:rsid w:val="0078304C"/>
    <w:rsid w:val="00783673"/>
    <w:rsid w:val="00785490"/>
    <w:rsid w:val="007925EA"/>
    <w:rsid w:val="00793567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DAC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3A3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1E1B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BE7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913"/>
    <w:rsid w:val="00A3448A"/>
    <w:rsid w:val="00A36297"/>
    <w:rsid w:val="00A41E2B"/>
    <w:rsid w:val="00A45B74"/>
    <w:rsid w:val="00A52E1D"/>
    <w:rsid w:val="00A57AE3"/>
    <w:rsid w:val="00A61499"/>
    <w:rsid w:val="00A62A77"/>
    <w:rsid w:val="00A63483"/>
    <w:rsid w:val="00A657D7"/>
    <w:rsid w:val="00A65814"/>
    <w:rsid w:val="00A65823"/>
    <w:rsid w:val="00A660AC"/>
    <w:rsid w:val="00A66F55"/>
    <w:rsid w:val="00A67E6C"/>
    <w:rsid w:val="00A71B99"/>
    <w:rsid w:val="00A739D0"/>
    <w:rsid w:val="00A761D4"/>
    <w:rsid w:val="00A77EC4"/>
    <w:rsid w:val="00A8413E"/>
    <w:rsid w:val="00A92879"/>
    <w:rsid w:val="00A9442A"/>
    <w:rsid w:val="00AA016F"/>
    <w:rsid w:val="00AA1ED6"/>
    <w:rsid w:val="00AA51D6"/>
    <w:rsid w:val="00AB0BC8"/>
    <w:rsid w:val="00AB11CA"/>
    <w:rsid w:val="00AB14D9"/>
    <w:rsid w:val="00AB1C5A"/>
    <w:rsid w:val="00AB385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58A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AB1"/>
    <w:rsid w:val="00B372AA"/>
    <w:rsid w:val="00B40445"/>
    <w:rsid w:val="00B41888"/>
    <w:rsid w:val="00B45A52"/>
    <w:rsid w:val="00B46175"/>
    <w:rsid w:val="00B56CF8"/>
    <w:rsid w:val="00B61557"/>
    <w:rsid w:val="00B6188F"/>
    <w:rsid w:val="00B664C7"/>
    <w:rsid w:val="00B739F6"/>
    <w:rsid w:val="00B806AA"/>
    <w:rsid w:val="00B81A6C"/>
    <w:rsid w:val="00B840C4"/>
    <w:rsid w:val="00B85DE5"/>
    <w:rsid w:val="00B90F73"/>
    <w:rsid w:val="00B93B59"/>
    <w:rsid w:val="00B9406A"/>
    <w:rsid w:val="00BA2280"/>
    <w:rsid w:val="00BA2A08"/>
    <w:rsid w:val="00BA5387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BEC"/>
    <w:rsid w:val="00BF74C7"/>
    <w:rsid w:val="00C015F1"/>
    <w:rsid w:val="00C01F33"/>
    <w:rsid w:val="00C02CC6"/>
    <w:rsid w:val="00C040F7"/>
    <w:rsid w:val="00C041B0"/>
    <w:rsid w:val="00C044AB"/>
    <w:rsid w:val="00C04908"/>
    <w:rsid w:val="00C05706"/>
    <w:rsid w:val="00C07377"/>
    <w:rsid w:val="00C10478"/>
    <w:rsid w:val="00C12107"/>
    <w:rsid w:val="00C14D4B"/>
    <w:rsid w:val="00C154BB"/>
    <w:rsid w:val="00C24345"/>
    <w:rsid w:val="00C25A74"/>
    <w:rsid w:val="00C2607D"/>
    <w:rsid w:val="00C279B5"/>
    <w:rsid w:val="00C27C45"/>
    <w:rsid w:val="00C3719D"/>
    <w:rsid w:val="00C54995"/>
    <w:rsid w:val="00C54D41"/>
    <w:rsid w:val="00C60224"/>
    <w:rsid w:val="00C60783"/>
    <w:rsid w:val="00C624BF"/>
    <w:rsid w:val="00C62A38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9E2"/>
    <w:rsid w:val="00CC7B45"/>
    <w:rsid w:val="00CD1188"/>
    <w:rsid w:val="00CD2ED1"/>
    <w:rsid w:val="00CD337B"/>
    <w:rsid w:val="00CD53AE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C5A"/>
    <w:rsid w:val="00D36E71"/>
    <w:rsid w:val="00D3724B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EDB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BA0"/>
    <w:rsid w:val="00DE5608"/>
    <w:rsid w:val="00DE58D0"/>
    <w:rsid w:val="00DE654F"/>
    <w:rsid w:val="00DF0B6E"/>
    <w:rsid w:val="00DF15E0"/>
    <w:rsid w:val="00DF37A0"/>
    <w:rsid w:val="00E070C3"/>
    <w:rsid w:val="00E110E7"/>
    <w:rsid w:val="00E11B20"/>
    <w:rsid w:val="00E14AA8"/>
    <w:rsid w:val="00E17FA2"/>
    <w:rsid w:val="00E2198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1BA"/>
    <w:rsid w:val="00E53B75"/>
    <w:rsid w:val="00E54E3B"/>
    <w:rsid w:val="00E57565"/>
    <w:rsid w:val="00E63838"/>
    <w:rsid w:val="00E64434"/>
    <w:rsid w:val="00E66917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3EC"/>
    <w:rsid w:val="00E967CE"/>
    <w:rsid w:val="00EA7A41"/>
    <w:rsid w:val="00EB077B"/>
    <w:rsid w:val="00EB4EA2"/>
    <w:rsid w:val="00EC147E"/>
    <w:rsid w:val="00EC27C6"/>
    <w:rsid w:val="00EC4207"/>
    <w:rsid w:val="00EC5653"/>
    <w:rsid w:val="00EC71CE"/>
    <w:rsid w:val="00ED0AFE"/>
    <w:rsid w:val="00ED1006"/>
    <w:rsid w:val="00ED62D7"/>
    <w:rsid w:val="00EF18FE"/>
    <w:rsid w:val="00EF4E06"/>
    <w:rsid w:val="00EF5787"/>
    <w:rsid w:val="00EF60D0"/>
    <w:rsid w:val="00F0528D"/>
    <w:rsid w:val="00F06C67"/>
    <w:rsid w:val="00F06DFD"/>
    <w:rsid w:val="00F071D1"/>
    <w:rsid w:val="00F07533"/>
    <w:rsid w:val="00F10629"/>
    <w:rsid w:val="00F15EAA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FC5"/>
    <w:rsid w:val="00F71F69"/>
    <w:rsid w:val="00F72B72"/>
    <w:rsid w:val="00F74BB9"/>
    <w:rsid w:val="00F75582"/>
    <w:rsid w:val="00F76EFA"/>
    <w:rsid w:val="00F804BE"/>
    <w:rsid w:val="00F817CE"/>
    <w:rsid w:val="00F824EB"/>
    <w:rsid w:val="00F8261D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426"/>
    <w:rsid w:val="00FF1B3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4C5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C59E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C59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C59E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C59E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C59E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C59E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C59E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C59E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C59E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4C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4C5A"/>
  </w:style>
  <w:style w:type="paragraph" w:styleId="TOC8">
    <w:name w:val="toc 8"/>
    <w:basedOn w:val="TOC1"/>
    <w:semiHidden/>
    <w:rsid w:val="00CC59E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C59E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C59E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C59E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C59E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C59E2"/>
    <w:pPr>
      <w:ind w:left="1418" w:hanging="1418"/>
    </w:pPr>
  </w:style>
  <w:style w:type="paragraph" w:styleId="TOC3">
    <w:name w:val="toc 3"/>
    <w:basedOn w:val="TOC2"/>
    <w:semiHidden/>
    <w:rsid w:val="00CC59E2"/>
    <w:pPr>
      <w:ind w:left="1134" w:hanging="1134"/>
    </w:pPr>
  </w:style>
  <w:style w:type="paragraph" w:styleId="TOC2">
    <w:name w:val="toc 2"/>
    <w:basedOn w:val="TOC1"/>
    <w:semiHidden/>
    <w:rsid w:val="00CC59E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C59E2"/>
    <w:pPr>
      <w:ind w:left="284"/>
    </w:pPr>
  </w:style>
  <w:style w:type="paragraph" w:styleId="Index1">
    <w:name w:val="index 1"/>
    <w:basedOn w:val="Normal"/>
    <w:semiHidden/>
    <w:rsid w:val="00CC59E2"/>
    <w:pPr>
      <w:keepLines/>
      <w:spacing w:after="0"/>
    </w:pPr>
  </w:style>
  <w:style w:type="paragraph" w:styleId="DocumentMap">
    <w:name w:val="Document Map"/>
    <w:basedOn w:val="Normal"/>
    <w:semiHidden/>
    <w:rsid w:val="00CC59E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C59E2"/>
    <w:pPr>
      <w:ind w:left="851"/>
    </w:pPr>
  </w:style>
  <w:style w:type="paragraph" w:styleId="ListNumber">
    <w:name w:val="List Number"/>
    <w:basedOn w:val="List"/>
    <w:rsid w:val="00CC59E2"/>
  </w:style>
  <w:style w:type="paragraph" w:styleId="List">
    <w:name w:val="List"/>
    <w:basedOn w:val="Normal"/>
    <w:rsid w:val="00CC59E2"/>
    <w:pPr>
      <w:ind w:left="568" w:hanging="284"/>
    </w:pPr>
  </w:style>
  <w:style w:type="paragraph" w:styleId="Header">
    <w:name w:val="header"/>
    <w:rsid w:val="00CC59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C59E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C59E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C59E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C59E2"/>
    <w:pPr>
      <w:ind w:left="1418" w:hanging="1418"/>
    </w:pPr>
  </w:style>
  <w:style w:type="paragraph" w:styleId="TOC6">
    <w:name w:val="toc 6"/>
    <w:basedOn w:val="TOC5"/>
    <w:next w:val="Normal"/>
    <w:semiHidden/>
    <w:rsid w:val="00CC59E2"/>
    <w:pPr>
      <w:ind w:left="1985" w:hanging="1985"/>
    </w:pPr>
  </w:style>
  <w:style w:type="paragraph" w:styleId="TOC7">
    <w:name w:val="toc 7"/>
    <w:basedOn w:val="TOC6"/>
    <w:next w:val="Normal"/>
    <w:semiHidden/>
    <w:rsid w:val="00CC59E2"/>
    <w:pPr>
      <w:ind w:left="2268" w:hanging="2268"/>
    </w:pPr>
  </w:style>
  <w:style w:type="paragraph" w:styleId="ListBullet2">
    <w:name w:val="List Bullet 2"/>
    <w:basedOn w:val="ListBullet"/>
    <w:rsid w:val="00CC59E2"/>
    <w:pPr>
      <w:numPr>
        <w:numId w:val="6"/>
      </w:numPr>
    </w:pPr>
  </w:style>
  <w:style w:type="paragraph" w:styleId="ListBullet">
    <w:name w:val="List Bullet"/>
    <w:basedOn w:val="BodyText"/>
    <w:rsid w:val="00CC59E2"/>
    <w:pPr>
      <w:numPr>
        <w:numId w:val="5"/>
      </w:numPr>
    </w:pPr>
  </w:style>
  <w:style w:type="paragraph" w:styleId="ListBullet3">
    <w:name w:val="List Bullet 3"/>
    <w:basedOn w:val="ListBullet2"/>
    <w:rsid w:val="00CC59E2"/>
    <w:pPr>
      <w:numPr>
        <w:numId w:val="7"/>
      </w:numPr>
    </w:pPr>
  </w:style>
  <w:style w:type="paragraph" w:customStyle="1" w:styleId="EQ">
    <w:name w:val="EQ"/>
    <w:basedOn w:val="Normal"/>
    <w:next w:val="Normal"/>
    <w:rsid w:val="00CC59E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C59E2"/>
    <w:pPr>
      <w:ind w:left="851"/>
    </w:pPr>
  </w:style>
  <w:style w:type="paragraph" w:styleId="List3">
    <w:name w:val="List 3"/>
    <w:basedOn w:val="List2"/>
    <w:rsid w:val="00CC59E2"/>
    <w:pPr>
      <w:ind w:left="1135"/>
    </w:pPr>
  </w:style>
  <w:style w:type="paragraph" w:styleId="List4">
    <w:name w:val="List 4"/>
    <w:basedOn w:val="List3"/>
    <w:rsid w:val="00CC59E2"/>
    <w:pPr>
      <w:ind w:left="1418"/>
    </w:pPr>
  </w:style>
  <w:style w:type="paragraph" w:styleId="List5">
    <w:name w:val="List 5"/>
    <w:basedOn w:val="List4"/>
    <w:rsid w:val="00CC59E2"/>
    <w:pPr>
      <w:ind w:left="1702"/>
    </w:pPr>
  </w:style>
  <w:style w:type="paragraph" w:customStyle="1" w:styleId="EditorsNote">
    <w:name w:val="Editor's Note"/>
    <w:basedOn w:val="Normal"/>
    <w:rsid w:val="00CC59E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C59E2"/>
    <w:pPr>
      <w:numPr>
        <w:numId w:val="8"/>
      </w:numPr>
    </w:pPr>
  </w:style>
  <w:style w:type="paragraph" w:styleId="ListBullet5">
    <w:name w:val="List Bullet 5"/>
    <w:basedOn w:val="ListBullet4"/>
    <w:rsid w:val="00CC59E2"/>
    <w:pPr>
      <w:numPr>
        <w:numId w:val="4"/>
      </w:numPr>
    </w:pPr>
  </w:style>
  <w:style w:type="paragraph" w:styleId="Footer">
    <w:name w:val="footer"/>
    <w:basedOn w:val="Header"/>
    <w:semiHidden/>
    <w:rsid w:val="00CC59E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C59E2"/>
    <w:pPr>
      <w:numPr>
        <w:numId w:val="2"/>
      </w:numPr>
    </w:pPr>
  </w:style>
  <w:style w:type="paragraph" w:styleId="BalloonText">
    <w:name w:val="Balloon Text"/>
    <w:basedOn w:val="Normal"/>
    <w:semiHidden/>
    <w:rsid w:val="00CC59E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C59E2"/>
  </w:style>
  <w:style w:type="paragraph" w:styleId="BodyText">
    <w:name w:val="Body Text"/>
    <w:basedOn w:val="Normal"/>
    <w:link w:val="BodyTextChar"/>
    <w:rsid w:val="00CC59E2"/>
  </w:style>
  <w:style w:type="character" w:styleId="Hyperlink">
    <w:name w:val="Hyperlink"/>
    <w:uiPriority w:val="99"/>
    <w:rsid w:val="00CC59E2"/>
    <w:rPr>
      <w:color w:val="0000FF"/>
      <w:u w:val="single"/>
      <w:lang w:val="en-GB"/>
    </w:rPr>
  </w:style>
  <w:style w:type="character" w:styleId="FollowedHyperlink">
    <w:name w:val="FollowedHyperlink"/>
    <w:semiHidden/>
    <w:rsid w:val="00CC59E2"/>
    <w:rPr>
      <w:color w:val="FF0000"/>
      <w:u w:val="single"/>
    </w:rPr>
  </w:style>
  <w:style w:type="character" w:styleId="CommentReference">
    <w:name w:val="annotation reference"/>
    <w:semiHidden/>
    <w:rsid w:val="00CC59E2"/>
    <w:rPr>
      <w:sz w:val="16"/>
      <w:szCs w:val="16"/>
    </w:rPr>
  </w:style>
  <w:style w:type="paragraph" w:styleId="CommentText">
    <w:name w:val="annotation text"/>
    <w:basedOn w:val="Normal"/>
    <w:semiHidden/>
    <w:rsid w:val="00CC59E2"/>
  </w:style>
  <w:style w:type="paragraph" w:styleId="CommentSubject">
    <w:name w:val="annotation subject"/>
    <w:basedOn w:val="CommentText"/>
    <w:next w:val="CommentText"/>
    <w:semiHidden/>
    <w:rsid w:val="00CC59E2"/>
    <w:rPr>
      <w:b/>
      <w:bCs/>
    </w:rPr>
  </w:style>
  <w:style w:type="character" w:customStyle="1" w:styleId="Heading1Char">
    <w:name w:val="Heading 1 Char"/>
    <w:link w:val="Heading1"/>
    <w:rsid w:val="00CC59E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C59E2"/>
    <w:pPr>
      <w:spacing w:after="180"/>
    </w:pPr>
  </w:style>
  <w:style w:type="paragraph" w:customStyle="1" w:styleId="B2">
    <w:name w:val="B2"/>
    <w:basedOn w:val="List2"/>
    <w:rsid w:val="00CC59E2"/>
    <w:pPr>
      <w:spacing w:after="180"/>
    </w:pPr>
  </w:style>
  <w:style w:type="paragraph" w:customStyle="1" w:styleId="B3">
    <w:name w:val="B3"/>
    <w:basedOn w:val="List3"/>
    <w:rsid w:val="00CC59E2"/>
    <w:pPr>
      <w:spacing w:after="180"/>
    </w:pPr>
  </w:style>
  <w:style w:type="paragraph" w:customStyle="1" w:styleId="B4">
    <w:name w:val="B4"/>
    <w:basedOn w:val="List4"/>
    <w:rsid w:val="00CC59E2"/>
    <w:pPr>
      <w:spacing w:after="180"/>
    </w:pPr>
  </w:style>
  <w:style w:type="paragraph" w:customStyle="1" w:styleId="Proposal">
    <w:name w:val="Proposal"/>
    <w:basedOn w:val="Normal"/>
    <w:rsid w:val="00CC59E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C59E2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CC59E2"/>
    <w:pPr>
      <w:spacing w:after="180"/>
    </w:pPr>
  </w:style>
  <w:style w:type="paragraph" w:customStyle="1" w:styleId="EX">
    <w:name w:val="EX"/>
    <w:basedOn w:val="Normal"/>
    <w:rsid w:val="00CC59E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C59E2"/>
    <w:pPr>
      <w:spacing w:after="0"/>
    </w:pPr>
  </w:style>
  <w:style w:type="paragraph" w:customStyle="1" w:styleId="TAL">
    <w:name w:val="TAL"/>
    <w:basedOn w:val="Normal"/>
    <w:rsid w:val="00CC59E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C59E2"/>
    <w:pPr>
      <w:jc w:val="center"/>
    </w:pPr>
  </w:style>
  <w:style w:type="paragraph" w:customStyle="1" w:styleId="TAH">
    <w:name w:val="TAH"/>
    <w:basedOn w:val="TAC"/>
    <w:rsid w:val="00CC59E2"/>
    <w:rPr>
      <w:b/>
    </w:rPr>
  </w:style>
  <w:style w:type="paragraph" w:customStyle="1" w:styleId="TAN">
    <w:name w:val="TAN"/>
    <w:basedOn w:val="TAL"/>
    <w:rsid w:val="00CC59E2"/>
    <w:pPr>
      <w:ind w:left="851" w:hanging="851"/>
    </w:pPr>
  </w:style>
  <w:style w:type="paragraph" w:customStyle="1" w:styleId="TAR">
    <w:name w:val="TAR"/>
    <w:basedOn w:val="TAL"/>
    <w:rsid w:val="00CC59E2"/>
    <w:pPr>
      <w:jc w:val="right"/>
    </w:pPr>
  </w:style>
  <w:style w:type="paragraph" w:customStyle="1" w:styleId="TH">
    <w:name w:val="TH"/>
    <w:basedOn w:val="Normal"/>
    <w:rsid w:val="00CC59E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C59E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C59E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C59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59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59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C59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C59E2"/>
  </w:style>
  <w:style w:type="paragraph" w:customStyle="1" w:styleId="ZH">
    <w:name w:val="ZH"/>
    <w:rsid w:val="00CC59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C59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C59E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C59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59E2"/>
    <w:pPr>
      <w:framePr w:wrap="notBeside" w:y="16161"/>
    </w:pPr>
  </w:style>
  <w:style w:type="paragraph" w:customStyle="1" w:styleId="FP">
    <w:name w:val="FP"/>
    <w:basedOn w:val="Normal"/>
    <w:rsid w:val="00CC59E2"/>
    <w:pPr>
      <w:spacing w:after="0"/>
    </w:pPr>
  </w:style>
  <w:style w:type="paragraph" w:customStyle="1" w:styleId="Observation">
    <w:name w:val="Observation"/>
    <w:basedOn w:val="Proposal"/>
    <w:qFormat/>
    <w:rsid w:val="00CC59E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C59E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CC59E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C59E2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691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2D2A8D"/>
    <w:pPr>
      <w:ind w:left="720"/>
      <w:contextualSpacing/>
    </w:pPr>
  </w:style>
  <w:style w:type="character" w:customStyle="1" w:styleId="B5Char">
    <w:name w:val="B5 Char"/>
    <w:link w:val="B5"/>
    <w:rsid w:val="001A2D01"/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2443"/>
    <w:rPr>
      <w:color w:val="808080"/>
      <w:shd w:val="clear" w:color="auto" w:fill="E6E6E6"/>
    </w:rPr>
  </w:style>
  <w:style w:type="paragraph" w:customStyle="1" w:styleId="NO">
    <w:name w:val="NO"/>
    <w:basedOn w:val="Normal"/>
    <w:link w:val="NOChar"/>
    <w:rsid w:val="00E963E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963EC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83/Report/R2-1337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83bis/Report/tmp/RAN2-83bis%20Chairman%20Notes%202013-10-11%2016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1602EAB1-6F86-48CD-B552-DBA4D578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2018-05-09T14:39:00Z</dcterms:created>
  <dcterms:modified xsi:type="dcterms:W3CDTF">2018-05-09T14:39:00Z</dcterms:modified>
</cp:coreProperties>
</file>